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850"/>
        <w:rPr>
          <w:rFonts w:ascii="Times New Roman" w:hAnsi="Times New Roman"/>
          <w:sz w:val="28"/>
        </w:rPr>
      </w:pPr>
    </w:p>
    <w:p w14:paraId="02000000">
      <w:pPr>
        <w:spacing w:after="0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Ограничения для уволенных с государственной службы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2-х лет после увольнения замещавшие должности государственной или муниципальной службы, включенные в перечень, установленный нормативными правовыми актами Российской Федерации, в соответствии с которым служащие обязаны предоставлять сведения о доходах, расходах, об имуществе и обязательствах имущественного характера, в случае устройства на работу на условиях трудового договора в организацию или оказания услуг по гражданско-правовому договору с оплатой более 100 тыс. руб. в месяц обязаны сообщить новому работодателю о последнем месте службы.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Последний в 10-дневный срок после заключения договора обязан уведомить об этом предыдущего работодателя. Неисполнение данного требования закона влечет административную ответственность работодателя. Срок на привлечение к ответственности - 6 лет;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бывший государственный или муниципальный служащий принимается на работу в организацию, в отношении которой он ранее осуществлял функции государственного (муниципального) управления, для трудоустройства ему необходимо получить согласие комиссии по соблюдению требований к служебному поведению государственных или муниципальных служащих и урегулированию конфликта интересов бывшего работодателя.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Неисполнение данного требования закона влечет расторжение трудового договора.</w:t>
      </w: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Исключением из названного правила является трудоустройство на новую государственную или муниципальную службу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2025-06-03T08:36:45Z</dcterms:modified>
</cp:coreProperties>
</file>