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Освобождение от наказания за неисполнение антикоррупционных обязанностей при ЧС</w:t>
      </w:r>
    </w:p>
    <w:p w14:paraId="02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Вступили в силу изменения в статьи 349.1 и 349.2 Трудового кодекса Российской Федерации, регламентирующие особенности регулирования труда работников государственных компаний, Социального Фонда России и иных организаций, созданных для выполнения задач, поставленных перед федеральными государственными органами.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случае наступления чрезвычайных обстоятельств, например, таких как стихийное бедствие, пожар, эпидемия, военные действия, террористические акты и прочее, работники названных компаний и фондов освобождаются от дисциплинарной ответственно</w:t>
      </w:r>
      <w:r>
        <w:rPr>
          <w:rFonts w:ascii="Times New Roman" w:hAnsi="Times New Roman"/>
          <w:sz w:val="28"/>
        </w:rPr>
        <w:t>сти за несоблюдение требований антикоррупционного законодательства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2025-06-03T08:37:58Z</dcterms:modified>
</cp:coreProperties>
</file>