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850"/>
        <w:jc w:val="center"/>
        <w:rPr>
          <w:rFonts w:ascii="Times New Roman" w:hAnsi="Times New Roman"/>
          <w:sz w:val="28"/>
        </w:rPr>
      </w:pPr>
    </w:p>
    <w:p w14:paraId="02000000">
      <w:pPr>
        <w:spacing w:after="0" w:line="240" w:lineRule="auto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привлечения государственных гражданских служащих к дисциплинарной ответственности за несоблюдение антикоррупционных ограничений и запретов</w:t>
      </w: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привлечения государственных гражданских служащих к дисциплинарной ответственности за несоблюдение антикоррупционных ограничений и запретов регламентирован Трудовым кодексом РФ, Федеральными законами «О государственной гражданской службе» и «О противодействии коррупции».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названные правонарушения применяются следующие виды взысканий: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замечание;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выговор;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предупреждение о неполном должностном соответствии;</w:t>
      </w:r>
    </w:p>
    <w:p w14:paraId="09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увольнение в связи с утратой доверия.</w:t>
      </w:r>
    </w:p>
    <w:p w14:paraId="0A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Дисциплинарное взыскание может быть наложено не позднее 1 месяца со дня поступления информации о совершении коррупционного правонарушения, не считая периода временной нетрудоспособности, пребывания в отпуске и других случаях отсутствия на службе по уважительным причинам, а также времени проведения проверки и рассмотрения материалов комиссией по урегулированию конфликтов интересов.</w:t>
      </w:r>
    </w:p>
    <w:p w14:paraId="0B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любом случае взыскание не может быть применено позднее 6 месяцев со дня поступления информации о коррупционном правонарушении.</w:t>
      </w:r>
    </w:p>
    <w:p w14:paraId="0C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Проверку информации в каждом государственном органе обеспечивают подразделения кадровой службы по профилактике коррупционных и иных правонарушений.</w:t>
      </w:r>
    </w:p>
    <w:p w14:paraId="0D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же нарушение связано с наличием конфликта интересов, при применении дисциплинарного взыскания учитывается мнение комиссии по урегулированию конфликта интересов</w:t>
      </w:r>
      <w:r>
        <w:t>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2025-06-03T08:44:34Z</dcterms:modified>
</cp:coreProperties>
</file>