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rFonts w:ascii="Times New Roman" w:hAnsi="Times New Roman"/>
          <w:sz w:val="28"/>
        </w:rPr>
      </w:pPr>
    </w:p>
    <w:p w14:paraId="02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Условия приватизации жилья, поступившего в государственный жилфонд в результате совершения коррупционного правонарушения</w:t>
      </w:r>
    </w:p>
    <w:p w14:paraId="03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14:paraId="04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Внесены изменения в Федеральный закон РФ «О приватизации государственного и муниципального имущества», вступившие в силу с 04.08.2023.</w:t>
      </w:r>
    </w:p>
    <w:p w14:paraId="05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Предусмотрено, что жилые помещения, поступившие в государственный жилищный фонд в результате совершения коррупционного правонарушения или в отношении которых не представлены сведения, подтверждающие их приобретение на законные доходы, приватизируются в порядке, установленном ФЗ "О приватизации государственного и муниципального имущества" с учетом установленных особенностей.</w:t>
      </w:r>
    </w:p>
    <w:p w14:paraId="06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Приватизации подлежит жилое помещение, рыночная стоимость которого на вторичном рынке жилья превышает в 2 раза и более денежную сумму, определенную исходя из размера общей площади, умноженного на установленный показатель средней цены одного квадратного метра общей площади жилого помещения по соответствующему субъекту РФ</w:t>
      </w:r>
      <w:r>
        <w:t>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heading 5"/>
    <w:next w:val="Style_1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2025-06-03T08:48:47Z</dcterms:modified>
</cp:coreProperties>
</file>